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E6" w:rsidRDefault="009A09E6" w:rsidP="009A09E6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09E6" w:rsidRPr="009A09E6" w:rsidRDefault="009A09E6" w:rsidP="009A09E6">
      <w:pPr>
        <w:jc w:val="center"/>
        <w:rPr>
          <w:b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9E6">
        <w:rPr>
          <w:b/>
          <w:sz w:val="44"/>
          <w:szCs w:val="4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 Vision</w:t>
      </w:r>
    </w:p>
    <w:p w:rsidR="009A09E6" w:rsidRPr="009A09E6" w:rsidRDefault="00D1180B" w:rsidP="009A09E6">
      <w:pPr>
        <w:jc w:val="center"/>
        <w:rPr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Putting Patients first!</w:t>
      </w:r>
    </w:p>
    <w:p w:rsidR="009A09E6" w:rsidRPr="009A09E6" w:rsidRDefault="009A09E6" w:rsidP="009A09E6">
      <w:pPr>
        <w:jc w:val="center"/>
        <w:rPr>
          <w:b/>
          <w:sz w:val="44"/>
          <w:szCs w:val="44"/>
          <w:u w:val="single"/>
        </w:rPr>
      </w:pPr>
      <w:r w:rsidRPr="009A09E6">
        <w:rPr>
          <w:b/>
          <w:sz w:val="44"/>
          <w:szCs w:val="44"/>
          <w:u w:val="single"/>
        </w:rPr>
        <w:t>Our values</w:t>
      </w:r>
    </w:p>
    <w:p w:rsidR="009A09E6" w:rsidRPr="009A09E6" w:rsidRDefault="009A09E6" w:rsidP="009A09E6">
      <w:pPr>
        <w:rPr>
          <w:b/>
          <w:u w:val="single"/>
        </w:rPr>
      </w:pPr>
      <w:r w:rsidRPr="00994FBD">
        <w:rPr>
          <w:b/>
          <w:u w:val="single"/>
        </w:rPr>
        <w:t>We follow</w:t>
      </w:r>
      <w:r>
        <w:rPr>
          <w:b/>
          <w:u w:val="single"/>
        </w:rPr>
        <w:t xml:space="preserve"> the principle of</w:t>
      </w:r>
      <w:r w:rsidRPr="00994FBD">
        <w:rPr>
          <w:b/>
          <w:u w:val="single"/>
        </w:rPr>
        <w:t xml:space="preserve"> the N</w:t>
      </w:r>
      <w:r>
        <w:rPr>
          <w:b/>
          <w:u w:val="single"/>
        </w:rPr>
        <w:t>HS 6 C’s of Care for our values</w:t>
      </w:r>
      <w:r>
        <w:tab/>
      </w:r>
      <w:r w:rsidRPr="00994FBD">
        <w:rPr>
          <w:sz w:val="32"/>
          <w:szCs w:val="32"/>
        </w:rPr>
        <w:tab/>
      </w:r>
      <w:r>
        <w:rPr>
          <w:b/>
        </w:rPr>
        <w:tab/>
      </w:r>
      <w:r w:rsidRPr="00994FBD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63"/>
        <w:gridCol w:w="4820"/>
        <w:gridCol w:w="2551"/>
        <w:gridCol w:w="5670"/>
      </w:tblGrid>
      <w:tr w:rsidR="007000F5" w:rsidTr="007000F5">
        <w:tc>
          <w:tcPr>
            <w:tcW w:w="2263" w:type="dxa"/>
          </w:tcPr>
          <w:p w:rsidR="007000F5" w:rsidRPr="00994FBD" w:rsidRDefault="007000F5" w:rsidP="007000F5">
            <w:pPr>
              <w:rPr>
                <w:color w:val="2E74B5" w:themeColor="accent1" w:themeShade="BF"/>
              </w:rPr>
            </w:pPr>
            <w:r w:rsidRPr="00994FBD">
              <w:rPr>
                <w:b/>
                <w:color w:val="2E74B5" w:themeColor="accent1" w:themeShade="BF"/>
                <w:sz w:val="32"/>
                <w:szCs w:val="32"/>
              </w:rPr>
              <w:t>Care:</w:t>
            </w:r>
            <w:r w:rsidRPr="00994FBD">
              <w:rPr>
                <w:color w:val="2E74B5" w:themeColor="accent1" w:themeShade="BF"/>
              </w:rPr>
              <w:t xml:space="preserve">   </w:t>
            </w:r>
          </w:p>
        </w:tc>
        <w:tc>
          <w:tcPr>
            <w:tcW w:w="4820" w:type="dxa"/>
          </w:tcPr>
          <w:p w:rsidR="007000F5" w:rsidRPr="00994FBD" w:rsidRDefault="00E85B84" w:rsidP="007000F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strive to provide 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 xml:space="preserve">a high level of care and 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>help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>ing patients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 xml:space="preserve"> on an individual basis - as well as improving the local community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000F5" w:rsidRDefault="007000F5" w:rsidP="007000F5"/>
        </w:tc>
        <w:tc>
          <w:tcPr>
            <w:tcW w:w="2551" w:type="dxa"/>
          </w:tcPr>
          <w:p w:rsidR="007000F5" w:rsidRPr="00994FBD" w:rsidRDefault="007000F5" w:rsidP="007000F5">
            <w:pPr>
              <w:rPr>
                <w:color w:val="2E74B5" w:themeColor="accent1" w:themeShade="BF"/>
              </w:rPr>
            </w:pPr>
            <w:r w:rsidRPr="00994FBD">
              <w:rPr>
                <w:b/>
                <w:color w:val="2E74B5" w:themeColor="accent1" w:themeShade="BF"/>
                <w:sz w:val="32"/>
                <w:szCs w:val="32"/>
              </w:rPr>
              <w:t>Communication:</w:t>
            </w:r>
          </w:p>
        </w:tc>
        <w:tc>
          <w:tcPr>
            <w:tcW w:w="5670" w:type="dxa"/>
          </w:tcPr>
          <w:p w:rsidR="007000F5" w:rsidRDefault="00E85B84" w:rsidP="00700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We are committed to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 xml:space="preserve"> successful caring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>ith listening being jus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>t as important, as what we say and do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 xml:space="preserve">  Our staff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assess, report and record the support provided i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 xml:space="preserve">n their care. Staff will make 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 xml:space="preserve">sure that information is handled sensitively and confidentially. </w:t>
            </w:r>
          </w:p>
          <w:p w:rsidR="007000F5" w:rsidRDefault="007000F5" w:rsidP="007000F5"/>
        </w:tc>
      </w:tr>
      <w:tr w:rsidR="007000F5" w:rsidTr="007000F5">
        <w:tc>
          <w:tcPr>
            <w:tcW w:w="2263" w:type="dxa"/>
          </w:tcPr>
          <w:p w:rsidR="007000F5" w:rsidRPr="00994FBD" w:rsidRDefault="007000F5" w:rsidP="007000F5">
            <w:pPr>
              <w:rPr>
                <w:color w:val="2E74B5" w:themeColor="accent1" w:themeShade="BF"/>
              </w:rPr>
            </w:pPr>
            <w:r w:rsidRPr="00994FBD">
              <w:rPr>
                <w:b/>
                <w:color w:val="2E74B5" w:themeColor="accent1" w:themeShade="BF"/>
                <w:sz w:val="32"/>
                <w:szCs w:val="32"/>
              </w:rPr>
              <w:t>Compassion</w:t>
            </w:r>
            <w:r w:rsidRPr="00994FBD">
              <w:rPr>
                <w:color w:val="2E74B5" w:themeColor="accent1" w:themeShade="BF"/>
                <w:sz w:val="32"/>
                <w:szCs w:val="32"/>
              </w:rPr>
              <w:t>:</w:t>
            </w:r>
          </w:p>
        </w:tc>
        <w:tc>
          <w:tcPr>
            <w:tcW w:w="4820" w:type="dxa"/>
          </w:tcPr>
          <w:p w:rsidR="007000F5" w:rsidRPr="00994FBD" w:rsidRDefault="00E85B84" w:rsidP="007000F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will ensure 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 xml:space="preserve">patients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are always involved </w:t>
            </w:r>
            <w:r w:rsidR="007000F5" w:rsidRPr="00994FBD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decision-making process where their own care is concerned.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We will ensure that we will always listen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3A23">
              <w:rPr>
                <w:rFonts w:ascii="Arial" w:hAnsi="Arial" w:cs="Arial"/>
                <w:color w:val="000000"/>
                <w:sz w:val="20"/>
                <w:szCs w:val="20"/>
              </w:rPr>
              <w:t>to feedback and views and act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3A23">
              <w:rPr>
                <w:rFonts w:ascii="Arial" w:hAnsi="Arial" w:cs="Arial"/>
                <w:color w:val="000000"/>
                <w:sz w:val="20"/>
                <w:szCs w:val="20"/>
              </w:rPr>
              <w:t>up</w:t>
            </w:r>
            <w:r w:rsidR="007000F5"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information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provided </w:t>
            </w:r>
            <w:r w:rsidRPr="00E85B84">
              <w:rPr>
                <w:rFonts w:ascii="Arial" w:hAnsi="Arial" w:cs="Arial"/>
                <w:color w:val="000000"/>
                <w:sz w:val="20"/>
                <w:szCs w:val="20"/>
              </w:rPr>
              <w:t>to continuously develop and improve the services we provide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000F5" w:rsidRDefault="007000F5" w:rsidP="007000F5"/>
        </w:tc>
        <w:tc>
          <w:tcPr>
            <w:tcW w:w="2551" w:type="dxa"/>
          </w:tcPr>
          <w:p w:rsidR="007000F5" w:rsidRPr="00994FBD" w:rsidRDefault="007000F5" w:rsidP="007000F5">
            <w:pPr>
              <w:rPr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</w:rPr>
              <w:t>Courage</w:t>
            </w:r>
          </w:p>
        </w:tc>
        <w:tc>
          <w:tcPr>
            <w:tcW w:w="5670" w:type="dxa"/>
          </w:tcPr>
          <w:p w:rsidR="007000F5" w:rsidRDefault="00E85B84" w:rsidP="00700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empower our staff to have</w:t>
            </w:r>
            <w:r w:rsidR="007000F5" w:rsidRPr="00D47109">
              <w:rPr>
                <w:rFonts w:ascii="Arial" w:hAnsi="Arial" w:cs="Arial"/>
                <w:sz w:val="20"/>
                <w:szCs w:val="20"/>
              </w:rPr>
              <w:t xml:space="preserve"> courage,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7000F5" w:rsidRPr="00D47109">
              <w:rPr>
                <w:rFonts w:ascii="Arial" w:hAnsi="Arial" w:cs="Arial"/>
                <w:sz w:val="20"/>
                <w:szCs w:val="20"/>
              </w:rPr>
              <w:t>will allow them to do the right things for our patients, by speaking u</w:t>
            </w:r>
            <w:r>
              <w:rPr>
                <w:rFonts w:ascii="Arial" w:hAnsi="Arial" w:cs="Arial"/>
                <w:sz w:val="20"/>
                <w:szCs w:val="20"/>
              </w:rPr>
              <w:t>p whenever concerns arise.</w:t>
            </w:r>
            <w:r w:rsidR="007000F5" w:rsidRPr="00D471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7000F5" w:rsidRPr="00D47109">
              <w:rPr>
                <w:rFonts w:ascii="Arial" w:hAnsi="Arial" w:cs="Arial"/>
                <w:sz w:val="20"/>
                <w:szCs w:val="20"/>
              </w:rPr>
              <w:t xml:space="preserve">eing able to embrace new ways of working within the practice. 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Supporting our staff in being accountable </w:t>
            </w:r>
            <w:r w:rsidR="007000F5" w:rsidRPr="00D47109">
              <w:rPr>
                <w:rFonts w:ascii="Arial" w:hAnsi="Arial" w:cs="Arial"/>
                <w:sz w:val="20"/>
                <w:szCs w:val="20"/>
              </w:rPr>
              <w:t xml:space="preserve">for the care they provide, the safety of our patients and having to make judgement calls that will affect others. </w:t>
            </w:r>
          </w:p>
          <w:p w:rsidR="007000F5" w:rsidRPr="00D47109" w:rsidRDefault="007000F5" w:rsidP="00700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F5" w:rsidTr="007000F5">
        <w:tc>
          <w:tcPr>
            <w:tcW w:w="2263" w:type="dxa"/>
          </w:tcPr>
          <w:p w:rsidR="007000F5" w:rsidRPr="00994FBD" w:rsidRDefault="007000F5" w:rsidP="007000F5">
            <w:pPr>
              <w:rPr>
                <w:color w:val="2E74B5" w:themeColor="accent1" w:themeShade="BF"/>
              </w:rPr>
            </w:pPr>
            <w:r w:rsidRPr="00994FBD">
              <w:rPr>
                <w:b/>
                <w:color w:val="2E74B5" w:themeColor="accent1" w:themeShade="BF"/>
                <w:sz w:val="32"/>
                <w:szCs w:val="32"/>
              </w:rPr>
              <w:t>Competence:</w:t>
            </w:r>
            <w:r w:rsidRPr="00994FBD">
              <w:rPr>
                <w:b/>
                <w:color w:val="2E74B5" w:themeColor="accent1" w:themeShade="BF"/>
              </w:rPr>
              <w:tab/>
            </w:r>
            <w:bookmarkStart w:id="0" w:name="_GoBack"/>
            <w:bookmarkEnd w:id="0"/>
          </w:p>
        </w:tc>
        <w:tc>
          <w:tcPr>
            <w:tcW w:w="4820" w:type="dxa"/>
          </w:tcPr>
          <w:p w:rsidR="007000F5" w:rsidRPr="00E85B84" w:rsidRDefault="00E85B84" w:rsidP="00E85B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t>Ensuring we are competent in care to enable us to understand an individual’s health and social requirements</w:t>
            </w:r>
            <w:r>
              <w:t xml:space="preserve"> </w:t>
            </w:r>
            <w:r>
              <w:t>and have the expertise and clinical knowledge needed to deliver excellent care.</w:t>
            </w:r>
          </w:p>
        </w:tc>
        <w:tc>
          <w:tcPr>
            <w:tcW w:w="2551" w:type="dxa"/>
          </w:tcPr>
          <w:p w:rsidR="007000F5" w:rsidRPr="00994FBD" w:rsidRDefault="007000F5" w:rsidP="007000F5">
            <w:pPr>
              <w:rPr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</w:rPr>
              <w:t>Commitment</w:t>
            </w:r>
          </w:p>
        </w:tc>
        <w:tc>
          <w:tcPr>
            <w:tcW w:w="5670" w:type="dxa"/>
          </w:tcPr>
          <w:p w:rsidR="007000F5" w:rsidRPr="00E15169" w:rsidRDefault="007000F5" w:rsidP="007000F5">
            <w:pPr>
              <w:rPr>
                <w:rFonts w:ascii="Arial" w:hAnsi="Arial" w:cs="Arial"/>
                <w:sz w:val="20"/>
                <w:szCs w:val="20"/>
              </w:rPr>
            </w:pPr>
            <w:r w:rsidRPr="00E15169">
              <w:rPr>
                <w:rFonts w:ascii="Arial" w:hAnsi="Arial" w:cs="Arial"/>
                <w:sz w:val="20"/>
                <w:szCs w:val="20"/>
              </w:rPr>
              <w:t xml:space="preserve">Our commitment to patients is </w:t>
            </w:r>
            <w:r w:rsidR="00E85B84">
              <w:rPr>
                <w:rFonts w:ascii="Arial" w:hAnsi="Arial" w:cs="Arial"/>
                <w:sz w:val="20"/>
                <w:szCs w:val="20"/>
              </w:rPr>
              <w:t xml:space="preserve">supporting our staff within their role and encouraging them to continuously </w:t>
            </w:r>
            <w:r w:rsidRPr="00E15169">
              <w:rPr>
                <w:rFonts w:ascii="Arial" w:hAnsi="Arial" w:cs="Arial"/>
                <w:sz w:val="20"/>
                <w:szCs w:val="20"/>
              </w:rPr>
              <w:t>develop</w:t>
            </w:r>
            <w:r w:rsidR="00E85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169">
              <w:rPr>
                <w:rFonts w:ascii="Arial" w:hAnsi="Arial" w:cs="Arial"/>
                <w:sz w:val="20"/>
                <w:szCs w:val="20"/>
              </w:rPr>
              <w:t>their skills and knowledge, to provide an excellent service and the best</w:t>
            </w:r>
            <w:r w:rsidR="00E85B84">
              <w:rPr>
                <w:rFonts w:ascii="Arial" w:hAnsi="Arial" w:cs="Arial"/>
                <w:sz w:val="20"/>
                <w:szCs w:val="20"/>
              </w:rPr>
              <w:t xml:space="preserve"> possible care for all patients and incorporate them into their day to day duties.</w:t>
            </w:r>
          </w:p>
          <w:p w:rsidR="007000F5" w:rsidRPr="00E15169" w:rsidRDefault="007000F5" w:rsidP="00700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068" w:rsidRDefault="00C45068" w:rsidP="00C450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45068" w:rsidSect="007000F5">
      <w:headerReference w:type="default" r:id="rId6"/>
      <w:footerReference w:type="default" r:id="rId7"/>
      <w:pgSz w:w="16838" w:h="11906" w:orient="landscape" w:code="9"/>
      <w:pgMar w:top="709" w:right="680" w:bottom="849" w:left="68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27" w:rsidRDefault="00824027">
      <w:pPr>
        <w:spacing w:after="0" w:line="240" w:lineRule="auto"/>
      </w:pPr>
      <w:r>
        <w:separator/>
      </w:r>
    </w:p>
  </w:endnote>
  <w:endnote w:type="continuationSeparator" w:id="0">
    <w:p w:rsidR="00824027" w:rsidRDefault="0082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7" w:rsidRDefault="00824027" w:rsidP="00824027">
    <w:pPr>
      <w:ind w:left="-851" w:right="-851"/>
      <w:jc w:val="center"/>
      <w:rPr>
        <w:rFonts w:ascii="Calibri" w:eastAsia="Calibri" w:hAnsi="Calibri"/>
        <w:sz w:val="20"/>
        <w:szCs w:val="20"/>
        <w:lang w:val="en-US"/>
      </w:rPr>
    </w:pPr>
    <w:r w:rsidRPr="00F35BB6">
      <w:rPr>
        <w:rFonts w:ascii="BernhardMod BT" w:eastAsia="Times New Roman" w:hAnsi="BernhardMod BT"/>
        <w:b/>
        <w:noProof/>
        <w:sz w:val="24"/>
        <w:szCs w:val="24"/>
        <w:lang w:eastAsia="en-GB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-51436</wp:posOffset>
              </wp:positionV>
              <wp:extent cx="3142615" cy="0"/>
              <wp:effectExtent l="0" t="0" r="1968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1426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A9AAB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4.05pt" to="247.4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" strokecolor="windowText">
              <o:lock v:ext="edit" shapetype="f"/>
              <w10:wrap anchorx="page"/>
              <w10:anchorlock/>
            </v:line>
          </w:pict>
        </mc:Fallback>
      </mc:AlternateContent>
    </w:r>
    <w:proofErr w:type="spellStart"/>
    <w:r w:rsidRPr="00F35BB6">
      <w:rPr>
        <w:rFonts w:ascii="Calibri" w:eastAsia="Calibri" w:hAnsi="Calibri"/>
        <w:b/>
        <w:sz w:val="20"/>
        <w:szCs w:val="20"/>
        <w:lang w:val="en-US"/>
      </w:rPr>
      <w:t>Dr</w:t>
    </w:r>
    <w:proofErr w:type="spellEnd"/>
    <w:r w:rsidRPr="00F35BB6">
      <w:rPr>
        <w:rFonts w:ascii="Calibri" w:eastAsia="Calibri" w:hAnsi="Calibri"/>
        <w:b/>
        <w:sz w:val="20"/>
        <w:szCs w:val="20"/>
        <w:lang w:val="en-US"/>
      </w:rPr>
      <w:t xml:space="preserve"> M</w:t>
    </w:r>
    <w:r>
      <w:rPr>
        <w:rFonts w:ascii="Calibri" w:eastAsia="Calibri" w:hAnsi="Calibri"/>
        <w:b/>
        <w:sz w:val="20"/>
        <w:szCs w:val="20"/>
        <w:lang w:val="en-US"/>
      </w:rPr>
      <w:t xml:space="preserve"> </w:t>
    </w:r>
    <w:r w:rsidRPr="00F35BB6">
      <w:rPr>
        <w:rFonts w:ascii="Calibri" w:eastAsia="Calibri" w:hAnsi="Calibri"/>
        <w:b/>
        <w:sz w:val="20"/>
        <w:szCs w:val="20"/>
        <w:lang w:val="en-US"/>
      </w:rPr>
      <w:t>R Bosworth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proofErr w:type="spellStart"/>
    <w:r>
      <w:rPr>
        <w:rFonts w:ascii="Calibri" w:eastAsia="Calibri" w:hAnsi="Calibri"/>
        <w:sz w:val="18"/>
        <w:szCs w:val="18"/>
        <w:lang w:val="en-US"/>
      </w:rPr>
      <w:t>MBChB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 DRCOG</w:t>
    </w:r>
    <w:r>
      <w:rPr>
        <w:rFonts w:ascii="Calibri" w:eastAsia="Calibri" w:hAnsi="Calibri"/>
        <w:sz w:val="20"/>
        <w:szCs w:val="20"/>
        <w:lang w:val="en-US"/>
      </w:rPr>
      <w:t xml:space="preserve">) </w:t>
    </w:r>
    <w:proofErr w:type="spellStart"/>
    <w:r w:rsidRPr="00F35BB6">
      <w:rPr>
        <w:rFonts w:ascii="Calibri" w:eastAsia="Calibri" w:hAnsi="Calibri"/>
        <w:b/>
        <w:sz w:val="20"/>
        <w:szCs w:val="20"/>
        <w:lang w:val="en-US"/>
      </w:rPr>
      <w:t>Dr</w:t>
    </w:r>
    <w:proofErr w:type="spellEnd"/>
    <w:r w:rsidRPr="00F35BB6">
      <w:rPr>
        <w:rFonts w:ascii="Calibri" w:eastAsia="Calibri" w:hAnsi="Calibri"/>
        <w:b/>
        <w:sz w:val="20"/>
        <w:szCs w:val="20"/>
        <w:lang w:val="en-US"/>
      </w:rPr>
      <w:t xml:space="preserve"> A Baker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proofErr w:type="spellStart"/>
    <w:r>
      <w:rPr>
        <w:rFonts w:ascii="Calibri" w:eastAsia="Calibri" w:hAnsi="Calibri"/>
        <w:sz w:val="18"/>
        <w:szCs w:val="18"/>
        <w:lang w:val="en-US"/>
      </w:rPr>
      <w:t>MBChB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 MRCS (Ed) MRCGP DFSRH</w:t>
    </w:r>
    <w:r>
      <w:rPr>
        <w:rFonts w:ascii="Calibri" w:eastAsia="Calibri" w:hAnsi="Calibri"/>
        <w:sz w:val="20"/>
        <w:szCs w:val="20"/>
        <w:lang w:val="en-US"/>
      </w:rPr>
      <w:t xml:space="preserve">) </w:t>
    </w:r>
    <w:proofErr w:type="spellStart"/>
    <w:r w:rsidRPr="00F35BB6">
      <w:rPr>
        <w:rFonts w:ascii="Calibri" w:eastAsia="Calibri" w:hAnsi="Calibri"/>
        <w:b/>
        <w:sz w:val="20"/>
        <w:szCs w:val="20"/>
        <w:lang w:val="en-US"/>
      </w:rPr>
      <w:t>Dr</w:t>
    </w:r>
    <w:proofErr w:type="spellEnd"/>
    <w:r w:rsidRPr="00F35BB6">
      <w:rPr>
        <w:rFonts w:ascii="Calibri" w:eastAsia="Calibri" w:hAnsi="Calibri"/>
        <w:b/>
        <w:sz w:val="20"/>
        <w:szCs w:val="20"/>
        <w:lang w:val="en-US"/>
      </w:rPr>
      <w:t xml:space="preserve"> Q Bhatti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proofErr w:type="spellStart"/>
    <w:r>
      <w:rPr>
        <w:rFonts w:ascii="Calibri" w:eastAsia="Calibri" w:hAnsi="Calibri"/>
        <w:sz w:val="18"/>
        <w:szCs w:val="18"/>
        <w:lang w:val="en-US"/>
      </w:rPr>
      <w:t>MBChB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 DRCOG </w:t>
    </w:r>
    <w:proofErr w:type="spellStart"/>
    <w:r>
      <w:rPr>
        <w:rFonts w:ascii="Calibri" w:eastAsia="Calibri" w:hAnsi="Calibri"/>
        <w:sz w:val="18"/>
        <w:szCs w:val="18"/>
        <w:lang w:val="en-US"/>
      </w:rPr>
      <w:t>nMRCGP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 </w:t>
    </w:r>
    <w:proofErr w:type="gramStart"/>
    <w:r>
      <w:rPr>
        <w:rFonts w:ascii="Calibri" w:eastAsia="Calibri" w:hAnsi="Calibri"/>
        <w:sz w:val="18"/>
        <w:szCs w:val="18"/>
        <w:lang w:val="en-US"/>
      </w:rPr>
      <w:t>MSc(</w:t>
    </w:r>
    <w:proofErr w:type="gramEnd"/>
    <w:r>
      <w:rPr>
        <w:rFonts w:ascii="Calibri" w:eastAsia="Calibri" w:hAnsi="Calibri"/>
        <w:sz w:val="18"/>
        <w:szCs w:val="18"/>
        <w:lang w:val="en-US"/>
      </w:rPr>
      <w:t>honors))</w:t>
    </w:r>
  </w:p>
  <w:p w:rsidR="00824027" w:rsidRDefault="00824027" w:rsidP="00824027">
    <w:pPr>
      <w:ind w:left="-142" w:right="-284"/>
      <w:jc w:val="center"/>
      <w:rPr>
        <w:rFonts w:ascii="Calibri" w:eastAsia="Calibri" w:hAnsi="Calibri"/>
        <w:sz w:val="20"/>
        <w:szCs w:val="20"/>
        <w:lang w:val="en-US"/>
      </w:rPr>
    </w:pPr>
    <w:r w:rsidRPr="00F35BB6">
      <w:rPr>
        <w:rFonts w:ascii="Calibri" w:eastAsia="Calibri" w:hAnsi="Calibri"/>
        <w:b/>
        <w:sz w:val="20"/>
        <w:szCs w:val="20"/>
        <w:lang w:val="en-US"/>
      </w:rPr>
      <w:t xml:space="preserve"> </w:t>
    </w:r>
    <w:proofErr w:type="spellStart"/>
    <w:r w:rsidRPr="00F35BB6">
      <w:rPr>
        <w:rFonts w:ascii="Calibri" w:eastAsia="Calibri" w:hAnsi="Calibri"/>
        <w:b/>
        <w:sz w:val="20"/>
        <w:szCs w:val="20"/>
        <w:lang w:val="en-US"/>
      </w:rPr>
      <w:t>Dr</w:t>
    </w:r>
    <w:proofErr w:type="spellEnd"/>
    <w:r w:rsidRPr="00F35BB6">
      <w:rPr>
        <w:rFonts w:ascii="Calibri" w:eastAsia="Calibri" w:hAnsi="Calibri"/>
        <w:b/>
        <w:sz w:val="20"/>
        <w:szCs w:val="20"/>
        <w:lang w:val="en-US"/>
      </w:rPr>
      <w:t xml:space="preserve"> S</w:t>
    </w:r>
    <w:r>
      <w:rPr>
        <w:rFonts w:ascii="Calibri" w:eastAsia="Calibri" w:hAnsi="Calibri"/>
        <w:b/>
        <w:sz w:val="20"/>
        <w:szCs w:val="20"/>
        <w:lang w:val="en-US"/>
      </w:rPr>
      <w:t xml:space="preserve"> </w:t>
    </w:r>
    <w:r w:rsidRPr="00F35BB6">
      <w:rPr>
        <w:rFonts w:ascii="Calibri" w:eastAsia="Calibri" w:hAnsi="Calibri"/>
        <w:b/>
        <w:sz w:val="20"/>
        <w:szCs w:val="20"/>
        <w:lang w:val="en-US"/>
      </w:rPr>
      <w:t>M Khan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r>
      <w:rPr>
        <w:rFonts w:ascii="Calibri" w:eastAsia="Calibri" w:hAnsi="Calibri"/>
        <w:sz w:val="18"/>
        <w:szCs w:val="18"/>
        <w:lang w:val="en-US"/>
      </w:rPr>
      <w:t xml:space="preserve">BSc </w:t>
    </w:r>
    <w:proofErr w:type="spellStart"/>
    <w:r>
      <w:rPr>
        <w:rFonts w:ascii="Calibri" w:eastAsia="Calibri" w:hAnsi="Calibri"/>
        <w:sz w:val="18"/>
        <w:szCs w:val="18"/>
        <w:lang w:val="en-US"/>
      </w:rPr>
      <w:t>MBChB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 MRCGP DCH DFSRH CME</w:t>
    </w:r>
    <w:r>
      <w:rPr>
        <w:rFonts w:ascii="Calibri" w:eastAsia="Calibri" w:hAnsi="Calibri"/>
        <w:sz w:val="20"/>
        <w:szCs w:val="20"/>
        <w:lang w:val="en-US"/>
      </w:rPr>
      <w:t xml:space="preserve">) </w:t>
    </w:r>
    <w:proofErr w:type="spellStart"/>
    <w:r w:rsidRPr="00F35BB6">
      <w:rPr>
        <w:rFonts w:ascii="Calibri" w:eastAsia="Calibri" w:hAnsi="Calibri"/>
        <w:b/>
        <w:sz w:val="20"/>
        <w:szCs w:val="20"/>
        <w:lang w:val="en-US"/>
      </w:rPr>
      <w:t>Dr</w:t>
    </w:r>
    <w:proofErr w:type="spellEnd"/>
    <w:r w:rsidRPr="00F35BB6">
      <w:rPr>
        <w:rFonts w:ascii="Calibri" w:eastAsia="Calibri" w:hAnsi="Calibri"/>
        <w:b/>
        <w:sz w:val="20"/>
        <w:szCs w:val="20"/>
        <w:lang w:val="en-US"/>
      </w:rPr>
      <w:t xml:space="preserve"> S </w:t>
    </w:r>
    <w:proofErr w:type="spellStart"/>
    <w:r w:rsidRPr="00F35BB6">
      <w:rPr>
        <w:rFonts w:ascii="Calibri" w:eastAsia="Calibri" w:hAnsi="Calibri"/>
        <w:b/>
        <w:sz w:val="20"/>
        <w:szCs w:val="20"/>
        <w:lang w:val="en-US"/>
      </w:rPr>
      <w:t>Balasubramanian</w:t>
    </w:r>
    <w:proofErr w:type="spellEnd"/>
    <w:r>
      <w:rPr>
        <w:rFonts w:ascii="Calibri" w:eastAsia="Calibri" w:hAnsi="Calibri"/>
        <w:sz w:val="20"/>
        <w:szCs w:val="20"/>
        <w:lang w:val="en-US"/>
      </w:rPr>
      <w:t xml:space="preserve"> (</w:t>
    </w:r>
    <w:r>
      <w:rPr>
        <w:rFonts w:ascii="Calibri" w:eastAsia="Calibri" w:hAnsi="Calibri"/>
        <w:sz w:val="18"/>
        <w:szCs w:val="18"/>
        <w:lang w:val="en-US"/>
      </w:rPr>
      <w:t>MBBS MS MRCGP DRCOG DFSRH</w:t>
    </w:r>
    <w:r>
      <w:rPr>
        <w:rFonts w:ascii="Calibri" w:eastAsia="Calibri" w:hAnsi="Calibri"/>
        <w:sz w:val="20"/>
        <w:szCs w:val="20"/>
        <w:lang w:val="en-US"/>
      </w:rPr>
      <w:t xml:space="preserve">) </w:t>
    </w:r>
  </w:p>
  <w:p w:rsidR="00824027" w:rsidRDefault="00824027" w:rsidP="00824027">
    <w:pPr>
      <w:ind w:left="-142" w:right="-284"/>
      <w:jc w:val="center"/>
      <w:rPr>
        <w:rFonts w:ascii="Calibri" w:eastAsia="Calibri" w:hAnsi="Calibri"/>
        <w:sz w:val="20"/>
        <w:szCs w:val="20"/>
        <w:lang w:val="en-US"/>
      </w:rPr>
    </w:pPr>
    <w:r w:rsidRPr="00F35BB6">
      <w:rPr>
        <w:rFonts w:ascii="Calibri" w:eastAsia="Calibri" w:hAnsi="Calibri"/>
        <w:b/>
        <w:sz w:val="20"/>
        <w:szCs w:val="20"/>
        <w:lang w:val="en-US"/>
      </w:rPr>
      <w:t>C Jones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r>
      <w:rPr>
        <w:rFonts w:ascii="Calibri" w:eastAsia="Calibri" w:hAnsi="Calibri"/>
        <w:sz w:val="18"/>
        <w:szCs w:val="18"/>
        <w:lang w:val="en-US"/>
      </w:rPr>
      <w:t>RGN ANP</w:t>
    </w:r>
    <w:r>
      <w:rPr>
        <w:rFonts w:ascii="Calibri" w:eastAsia="Calibri" w:hAnsi="Calibri"/>
        <w:sz w:val="20"/>
        <w:szCs w:val="20"/>
        <w:lang w:val="en-US"/>
      </w:rPr>
      <w:t xml:space="preserve">) </w:t>
    </w:r>
    <w:r w:rsidRPr="00F35BB6">
      <w:rPr>
        <w:rFonts w:ascii="Calibri" w:eastAsia="Calibri" w:hAnsi="Calibri"/>
        <w:b/>
        <w:sz w:val="20"/>
        <w:szCs w:val="20"/>
        <w:lang w:val="en-US"/>
      </w:rPr>
      <w:t>N Green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r>
      <w:rPr>
        <w:rFonts w:ascii="Calibri" w:eastAsia="Calibri" w:hAnsi="Calibri"/>
        <w:sz w:val="18"/>
        <w:szCs w:val="18"/>
        <w:lang w:val="en-US"/>
      </w:rPr>
      <w:t>NP RGN RMN</w:t>
    </w:r>
    <w:r>
      <w:rPr>
        <w:rFonts w:ascii="Calibri" w:eastAsia="Calibri" w:hAnsi="Calibri"/>
        <w:sz w:val="20"/>
        <w:szCs w:val="20"/>
        <w:lang w:val="en-US"/>
      </w:rPr>
      <w:t xml:space="preserve">) </w:t>
    </w:r>
    <w:r w:rsidRPr="00F35BB6">
      <w:rPr>
        <w:rFonts w:ascii="Calibri" w:eastAsia="Calibri" w:hAnsi="Calibri"/>
        <w:b/>
        <w:sz w:val="20"/>
        <w:szCs w:val="20"/>
        <w:lang w:val="en-US"/>
      </w:rPr>
      <w:t>M Edwards</w:t>
    </w:r>
    <w:r>
      <w:rPr>
        <w:rFonts w:ascii="Calibri" w:eastAsia="Calibri" w:hAnsi="Calibri"/>
        <w:sz w:val="20"/>
        <w:szCs w:val="20"/>
        <w:lang w:val="en-US"/>
      </w:rPr>
      <w:t xml:space="preserve"> (</w:t>
    </w:r>
    <w:r>
      <w:rPr>
        <w:rFonts w:ascii="Calibri" w:eastAsia="Calibri" w:hAnsi="Calibri"/>
        <w:sz w:val="18"/>
        <w:szCs w:val="18"/>
        <w:lang w:val="en-US"/>
      </w:rPr>
      <w:t>RGN NP</w:t>
    </w:r>
    <w:r>
      <w:rPr>
        <w:rFonts w:ascii="Calibri" w:eastAsia="Calibri" w:hAnsi="Calibri"/>
        <w:sz w:val="20"/>
        <w:szCs w:val="20"/>
        <w:lang w:val="en-US"/>
      </w:rPr>
      <w:t>)</w:t>
    </w:r>
    <w:r w:rsidR="007000F5">
      <w:rPr>
        <w:rFonts w:ascii="Calibri" w:eastAsia="Calibri" w:hAnsi="Calibri"/>
        <w:sz w:val="20"/>
        <w:szCs w:val="20"/>
        <w:lang w:val="en-US"/>
      </w:rPr>
      <w:t xml:space="preserve"> </w:t>
    </w:r>
    <w:r w:rsidR="007000F5" w:rsidRPr="007000F5">
      <w:rPr>
        <w:rFonts w:ascii="Calibri" w:eastAsia="Calibri" w:hAnsi="Calibri"/>
        <w:b/>
        <w:sz w:val="20"/>
        <w:szCs w:val="20"/>
        <w:lang w:val="en-US"/>
      </w:rPr>
      <w:t>M Smith</w:t>
    </w:r>
    <w:r w:rsidR="007000F5">
      <w:rPr>
        <w:rFonts w:ascii="Calibri" w:eastAsia="Calibri" w:hAnsi="Calibri"/>
        <w:sz w:val="20"/>
        <w:szCs w:val="20"/>
        <w:lang w:val="en-US"/>
      </w:rPr>
      <w:t xml:space="preserve"> (RGN ANP)</w:t>
    </w:r>
  </w:p>
  <w:p w:rsidR="00824027" w:rsidRDefault="00824027" w:rsidP="00824027">
    <w:pPr>
      <w:pStyle w:val="Footer"/>
      <w:ind w:left="-284"/>
    </w:pPr>
  </w:p>
  <w:p w:rsidR="00824027" w:rsidRPr="0082476E" w:rsidRDefault="00824027" w:rsidP="00824027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27" w:rsidRDefault="00824027">
      <w:pPr>
        <w:spacing w:after="0" w:line="240" w:lineRule="auto"/>
      </w:pPr>
      <w:r>
        <w:separator/>
      </w:r>
    </w:p>
  </w:footnote>
  <w:footnote w:type="continuationSeparator" w:id="0">
    <w:p w:rsidR="00824027" w:rsidRDefault="0082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27" w:rsidRDefault="00824027" w:rsidP="00F35BB6">
    <w:pPr>
      <w:spacing w:after="0"/>
      <w:jc w:val="right"/>
      <w:rPr>
        <w:rFonts w:ascii="Calibri" w:hAnsi="Calibri"/>
        <w:noProof/>
      </w:rPr>
    </w:pPr>
    <w:r>
      <w:rPr>
        <w:rFonts w:ascii="BernhardMod BT" w:hAnsi="BernhardMod BT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-210185</wp:posOffset>
          </wp:positionV>
          <wp:extent cx="2349500" cy="1284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027" w:rsidRDefault="00824027" w:rsidP="00F35BB6">
    <w:pPr>
      <w:spacing w:after="0"/>
      <w:jc w:val="right"/>
      <w:rPr>
        <w:rFonts w:ascii="Calibri" w:hAnsi="Calibri"/>
        <w:noProof/>
      </w:rPr>
    </w:pPr>
  </w:p>
  <w:p w:rsidR="00824027" w:rsidRPr="00632BF3" w:rsidRDefault="00824027" w:rsidP="00F35BB6">
    <w:pPr>
      <w:spacing w:after="0"/>
      <w:jc w:val="right"/>
      <w:rPr>
        <w:rFonts w:ascii="Calibri" w:hAnsi="Calibri"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B5"/>
    <w:rsid w:val="001C03E9"/>
    <w:rsid w:val="00252376"/>
    <w:rsid w:val="00455C30"/>
    <w:rsid w:val="004A0EB5"/>
    <w:rsid w:val="00523A23"/>
    <w:rsid w:val="00540772"/>
    <w:rsid w:val="00585330"/>
    <w:rsid w:val="007000F5"/>
    <w:rsid w:val="007311C1"/>
    <w:rsid w:val="007A0226"/>
    <w:rsid w:val="00824027"/>
    <w:rsid w:val="0088627E"/>
    <w:rsid w:val="008E3F12"/>
    <w:rsid w:val="009A09E6"/>
    <w:rsid w:val="00BC5C88"/>
    <w:rsid w:val="00C45068"/>
    <w:rsid w:val="00D1180B"/>
    <w:rsid w:val="00DA6A00"/>
    <w:rsid w:val="00E85B84"/>
    <w:rsid w:val="00F35BB6"/>
    <w:rsid w:val="00F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4798"/>
  <w15:chartTrackingRefBased/>
  <w15:docId w15:val="{9FEADCE1-185A-4BAF-8924-D2BFFD3B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EB5"/>
  </w:style>
  <w:style w:type="paragraph" w:styleId="Footer">
    <w:name w:val="footer"/>
    <w:basedOn w:val="Normal"/>
    <w:link w:val="FooterChar"/>
    <w:uiPriority w:val="99"/>
    <w:unhideWhenUsed/>
    <w:rsid w:val="004A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EB5"/>
  </w:style>
  <w:style w:type="character" w:styleId="Hyperlink">
    <w:name w:val="Hyperlink"/>
    <w:basedOn w:val="DefaultParagraphFont"/>
    <w:uiPriority w:val="99"/>
    <w:unhideWhenUsed/>
    <w:rsid w:val="007311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Claire (CROFT MEDICAL CENTRE - M89012)</dc:creator>
  <cp:keywords/>
  <dc:description/>
  <cp:lastModifiedBy>CLARK, Emma (CROFT MEDICAL CENTRE - M89012)</cp:lastModifiedBy>
  <cp:revision>6</cp:revision>
  <cp:lastPrinted>2023-07-13T15:39:00Z</cp:lastPrinted>
  <dcterms:created xsi:type="dcterms:W3CDTF">2023-07-09T20:12:00Z</dcterms:created>
  <dcterms:modified xsi:type="dcterms:W3CDTF">2023-07-13T15:42:00Z</dcterms:modified>
</cp:coreProperties>
</file>